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0E39" w14:textId="728941AE" w:rsidR="00EB1334" w:rsidRPr="008B1A84" w:rsidRDefault="008B1A84">
      <w:pPr>
        <w:rPr>
          <w:b/>
        </w:rPr>
      </w:pPr>
      <w:r w:rsidRPr="008B1A84">
        <w:rPr>
          <w:b/>
        </w:rPr>
        <w:t>Nr</w:t>
      </w:r>
      <w:r w:rsidR="00B60280">
        <w:rPr>
          <w:b/>
        </w:rPr>
        <w:t xml:space="preserve"> 7/2021</w:t>
      </w:r>
      <w:r w:rsidRPr="008B1A84">
        <w:rPr>
          <w:b/>
        </w:rPr>
        <w:t xml:space="preserve"> </w:t>
      </w:r>
      <w:r w:rsidR="00ED70C5">
        <w:rPr>
          <w:b/>
        </w:rPr>
        <w:t xml:space="preserve"> </w:t>
      </w:r>
    </w:p>
    <w:p w14:paraId="6584A69A" w14:textId="77777777" w:rsidR="009274AC" w:rsidRDefault="009274AC"/>
    <w:p w14:paraId="2CF85290" w14:textId="77777777" w:rsidR="009274AC" w:rsidRDefault="009274AC"/>
    <w:p w14:paraId="4D843860" w14:textId="77777777" w:rsidR="009274AC" w:rsidRDefault="009274AC"/>
    <w:p w14:paraId="6473A173" w14:textId="77777777" w:rsidR="009274AC" w:rsidRDefault="009274AC"/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2315499D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selektywnej zbiórki odpadów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C11</w:t>
      </w:r>
      <w:r w:rsidR="006E6429">
        <w:rPr>
          <w:b/>
          <w:sz w:val="28"/>
          <w:szCs w:val="28"/>
        </w:rPr>
        <w:t>,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2DD19D59" w14:textId="77777777" w:rsidR="00F3489C" w:rsidRDefault="00F3489C" w:rsidP="00F3489C">
      <w:pPr>
        <w:jc w:val="center"/>
        <w:rPr>
          <w:sz w:val="28"/>
          <w:szCs w:val="28"/>
        </w:rPr>
      </w:pPr>
    </w:p>
    <w:p w14:paraId="5D8E3A38" w14:textId="77777777" w:rsidR="00F3489C" w:rsidRDefault="00F3489C" w:rsidP="00F3489C">
      <w:pPr>
        <w:jc w:val="center"/>
        <w:rPr>
          <w:sz w:val="28"/>
          <w:szCs w:val="28"/>
        </w:rPr>
      </w:pPr>
    </w:p>
    <w:p w14:paraId="345C5CD9" w14:textId="77777777" w:rsidR="00F3489C" w:rsidRDefault="00F3489C" w:rsidP="00F3489C">
      <w:pPr>
        <w:jc w:val="center"/>
        <w:rPr>
          <w:sz w:val="28"/>
          <w:szCs w:val="28"/>
        </w:rPr>
      </w:pPr>
    </w:p>
    <w:p w14:paraId="5662B6E4" w14:textId="77777777" w:rsidR="00F3489C" w:rsidRDefault="00F3489C" w:rsidP="00F3489C">
      <w:pPr>
        <w:jc w:val="center"/>
        <w:rPr>
          <w:sz w:val="28"/>
          <w:szCs w:val="28"/>
        </w:rPr>
      </w:pPr>
    </w:p>
    <w:p w14:paraId="240F1C4D" w14:textId="77777777" w:rsidR="00F3489C" w:rsidRDefault="00F3489C" w:rsidP="00F3489C">
      <w:pPr>
        <w:jc w:val="center"/>
        <w:rPr>
          <w:sz w:val="28"/>
          <w:szCs w:val="28"/>
        </w:rPr>
      </w:pPr>
    </w:p>
    <w:p w14:paraId="72BD76C8" w14:textId="77777777" w:rsidR="00F3489C" w:rsidRDefault="00F3489C" w:rsidP="00F3489C">
      <w:pPr>
        <w:jc w:val="center"/>
        <w:rPr>
          <w:sz w:val="28"/>
          <w:szCs w:val="28"/>
        </w:rPr>
      </w:pPr>
    </w:p>
    <w:p w14:paraId="6982DB6D" w14:textId="77777777" w:rsidR="00F3489C" w:rsidRDefault="00F3489C" w:rsidP="00F3489C">
      <w:pPr>
        <w:jc w:val="center"/>
        <w:rPr>
          <w:sz w:val="28"/>
          <w:szCs w:val="28"/>
        </w:rPr>
      </w:pPr>
    </w:p>
    <w:p w14:paraId="5C28DFB4" w14:textId="77777777" w:rsidR="00F3489C" w:rsidRDefault="00F3489C" w:rsidP="00F3489C">
      <w:pPr>
        <w:jc w:val="center"/>
        <w:rPr>
          <w:sz w:val="28"/>
          <w:szCs w:val="28"/>
        </w:rPr>
      </w:pPr>
    </w:p>
    <w:p w14:paraId="271AE6F1" w14:textId="77777777" w:rsidR="00F3489C" w:rsidRDefault="00F3489C" w:rsidP="00F3489C">
      <w:pPr>
        <w:jc w:val="center"/>
        <w:rPr>
          <w:sz w:val="28"/>
          <w:szCs w:val="28"/>
        </w:rPr>
      </w:pPr>
    </w:p>
    <w:p w14:paraId="472C5FF8" w14:textId="77777777" w:rsidR="00F3489C" w:rsidRDefault="00F3489C" w:rsidP="00637182">
      <w:pPr>
        <w:rPr>
          <w:sz w:val="28"/>
          <w:szCs w:val="28"/>
        </w:rPr>
      </w:pP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lastRenderedPageBreak/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5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6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77777777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l/fax 523854024</w:t>
      </w:r>
    </w:p>
    <w:p w14:paraId="628E221E" w14:textId="09BE23D9" w:rsidR="008A1A67" w:rsidRDefault="00982150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7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3862F9AA" w14:textId="673BF6C1" w:rsidR="00A70B99" w:rsidRDefault="00A70B99" w:rsidP="00A70B9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Niniejsze zamówienie </w:t>
      </w:r>
      <w:r w:rsidR="00DF77DD">
        <w:rPr>
          <w:sz w:val="24"/>
          <w:szCs w:val="24"/>
        </w:rPr>
        <w:t>dotyczy procedury udzielenia zamówienia</w:t>
      </w:r>
      <w:r w:rsidR="008B2861">
        <w:rPr>
          <w:sz w:val="24"/>
          <w:szCs w:val="24"/>
        </w:rPr>
        <w:t xml:space="preserve"> publicznego</w:t>
      </w:r>
      <w:r w:rsidR="00EE5490">
        <w:rPr>
          <w:sz w:val="24"/>
          <w:szCs w:val="24"/>
        </w:rPr>
        <w:t>,</w:t>
      </w:r>
      <w:r w:rsidR="00DF77DD">
        <w:rPr>
          <w:sz w:val="24"/>
          <w:szCs w:val="24"/>
        </w:rPr>
        <w:t xml:space="preserve">  którego </w:t>
      </w:r>
      <w:r w:rsidR="001B18C3">
        <w:rPr>
          <w:sz w:val="24"/>
          <w:szCs w:val="24"/>
        </w:rPr>
        <w:t xml:space="preserve">szacunkowa </w:t>
      </w:r>
      <w:r w:rsidR="00DF77DD">
        <w:rPr>
          <w:sz w:val="24"/>
          <w:szCs w:val="24"/>
        </w:rPr>
        <w:t xml:space="preserve">wartość nie przekracza </w:t>
      </w:r>
      <w:r w:rsidR="00EE5490">
        <w:rPr>
          <w:sz w:val="24"/>
          <w:szCs w:val="24"/>
        </w:rPr>
        <w:t xml:space="preserve"> kwoty </w:t>
      </w:r>
      <w:r w:rsidR="00DF77DD">
        <w:rPr>
          <w:sz w:val="24"/>
          <w:szCs w:val="24"/>
        </w:rPr>
        <w:t xml:space="preserve"> </w:t>
      </w:r>
      <w:r w:rsidR="00EE5490">
        <w:rPr>
          <w:sz w:val="24"/>
          <w:szCs w:val="24"/>
        </w:rPr>
        <w:t>1</w:t>
      </w:r>
      <w:r w:rsidR="00DF77DD">
        <w:rPr>
          <w:sz w:val="24"/>
          <w:szCs w:val="24"/>
        </w:rPr>
        <w:t>30.000</w:t>
      </w:r>
      <w:r w:rsidR="00EE5490">
        <w:rPr>
          <w:sz w:val="24"/>
          <w:szCs w:val="24"/>
        </w:rPr>
        <w:t xml:space="preserve"> zł </w:t>
      </w:r>
      <w:r w:rsidR="00637182">
        <w:rPr>
          <w:sz w:val="24"/>
          <w:szCs w:val="24"/>
        </w:rPr>
        <w:t xml:space="preserve">, </w:t>
      </w:r>
      <w:r w:rsidR="00EE5490">
        <w:rPr>
          <w:sz w:val="24"/>
          <w:szCs w:val="24"/>
        </w:rPr>
        <w:t>zgodnie z art. 2 ust. 1 ustawy Pzp</w:t>
      </w:r>
      <w:r w:rsidR="00DF77DD">
        <w:rPr>
          <w:sz w:val="24"/>
          <w:szCs w:val="24"/>
        </w:rPr>
        <w:t>.</w:t>
      </w:r>
    </w:p>
    <w:p w14:paraId="4810AEF9" w14:textId="6A9F2BB9" w:rsidR="00A70B99" w:rsidRDefault="00A70B99" w:rsidP="00466D0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Zamówienie </w:t>
      </w:r>
      <w:r w:rsidR="00EE5490">
        <w:rPr>
          <w:sz w:val="24"/>
          <w:szCs w:val="24"/>
        </w:rPr>
        <w:t>prowadzone jest na podstawie Regulaminu Udzielania Zamówień Publicznych stosowanym w Komunalnym Przedsiębiorstwie Wodociągów i Kanalizacji Sp. z o.o.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77777777" w:rsidR="00BC2836" w:rsidRPr="00FF04B9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7947D754" w14:textId="2869D9DE" w:rsidR="000F40F6" w:rsidRDefault="00181CB5" w:rsidP="000F40F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5A60F9">
        <w:rPr>
          <w:sz w:val="24"/>
          <w:szCs w:val="24"/>
        </w:rPr>
        <w:t xml:space="preserve">selektywnej zbiórki odpadów </w:t>
      </w:r>
      <w:r>
        <w:rPr>
          <w:sz w:val="24"/>
          <w:szCs w:val="24"/>
        </w:rPr>
        <w:t>KPWiK w Nakle nad Notecią.</w:t>
      </w:r>
    </w:p>
    <w:p w14:paraId="49B073E9" w14:textId="49591357" w:rsidR="00527BBA" w:rsidRPr="000F40F6" w:rsidRDefault="00527BBA" w:rsidP="000F40F6">
      <w:pPr>
        <w:pStyle w:val="Akapitzlist"/>
        <w:ind w:left="1080"/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t xml:space="preserve">Energia elektryczna powinna spełniać parametry techniczne zgodnie z zapisami 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>ustawy Prawo energetyczne oraz rozporządzeniami wykonawczymi do tej ustawy.</w:t>
      </w:r>
    </w:p>
    <w:p w14:paraId="079DBEE1" w14:textId="77777777" w:rsidR="00527BBA" w:rsidRDefault="00527BBA" w:rsidP="00181CB5">
      <w:pPr>
        <w:pStyle w:val="Akapitzlist"/>
        <w:ind w:left="1080"/>
        <w:rPr>
          <w:sz w:val="24"/>
          <w:szCs w:val="24"/>
        </w:rPr>
      </w:pPr>
    </w:p>
    <w:p w14:paraId="6096A4B8" w14:textId="77777777" w:rsidR="00181CB5" w:rsidRDefault="00181CB5" w:rsidP="00181CB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0E3A1A3D" w14:textId="77777777" w:rsidR="008A1A67" w:rsidRDefault="00305694" w:rsidP="00181CB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Szacunkowa prognoza zużycia energii została określona w </w:t>
      </w:r>
      <w:r w:rsidRPr="00305694">
        <w:rPr>
          <w:b/>
          <w:sz w:val="24"/>
          <w:szCs w:val="24"/>
        </w:rPr>
        <w:t xml:space="preserve">załączniku nr 1 </w:t>
      </w:r>
      <w:r w:rsidR="005A60F9">
        <w:rPr>
          <w:b/>
          <w:sz w:val="24"/>
          <w:szCs w:val="24"/>
        </w:rPr>
        <w:t xml:space="preserve"> A </w:t>
      </w:r>
      <w:r w:rsidRPr="00305694">
        <w:rPr>
          <w:sz w:val="24"/>
          <w:szCs w:val="24"/>
        </w:rPr>
        <w:t>niniejszej specyfikacji.</w:t>
      </w:r>
      <w:r w:rsidR="00A12BA1">
        <w:rPr>
          <w:sz w:val="24"/>
          <w:szCs w:val="24"/>
        </w:rPr>
        <w:t xml:space="preserve"> </w:t>
      </w:r>
    </w:p>
    <w:p w14:paraId="660D3F25" w14:textId="77777777" w:rsidR="00305694" w:rsidRDefault="00A12BA1" w:rsidP="00181CB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77777777" w:rsidR="00D06B52" w:rsidRDefault="00D06B52" w:rsidP="00181CB5">
      <w:pPr>
        <w:pStyle w:val="Akapitzlist"/>
        <w:ind w:left="1080"/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>
        <w:rPr>
          <w:sz w:val="24"/>
          <w:szCs w:val="24"/>
        </w:rPr>
        <w:t xml:space="preserve">(w ilości do 5 punktów)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446C96C7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ED70C5">
        <w:rPr>
          <w:sz w:val="24"/>
          <w:szCs w:val="24"/>
        </w:rPr>
        <w:t>24</w:t>
      </w:r>
      <w:r>
        <w:rPr>
          <w:sz w:val="24"/>
          <w:szCs w:val="24"/>
        </w:rPr>
        <w:t xml:space="preserve"> miesięcy tj. od dnia 01.0</w:t>
      </w:r>
      <w:r w:rsidR="004F5361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4F5361">
        <w:rPr>
          <w:sz w:val="24"/>
          <w:szCs w:val="24"/>
        </w:rPr>
        <w:t>2</w:t>
      </w:r>
      <w:r w:rsidR="00EE549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>
        <w:rPr>
          <w:sz w:val="24"/>
          <w:szCs w:val="24"/>
        </w:rPr>
        <w:t>31.</w:t>
      </w:r>
      <w:r w:rsidR="004F5361">
        <w:rPr>
          <w:sz w:val="24"/>
          <w:szCs w:val="24"/>
        </w:rPr>
        <w:t>12</w:t>
      </w:r>
      <w:r w:rsidR="00ED70C5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EE5490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04314884" w:rsidR="00527BBA" w:rsidRPr="000F40F6" w:rsidRDefault="00527BBA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0F40F6">
        <w:rPr>
          <w:rFonts w:cstheme="minorHAnsi"/>
        </w:rPr>
        <w:t>posiada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Posiadają niezbędną wiedzę i doświadczenie oraz dysponują potencjałem technicznym i osobami zdolnymi do realizacji zamówienia</w:t>
      </w:r>
    </w:p>
    <w:p w14:paraId="6C05CFB9" w14:textId="4B947205" w:rsidR="000F40F6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210513D3" w14:textId="05285F71" w:rsidR="00160286" w:rsidRPr="00FF04B9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 postępowania u udzielenie zamówienia Zamawiający może wykluczyć Wykonawcę, który naruszył obowiązki dotyczące płatności podatków, opłat lub składek na ubezpieczenia społeczne lub zdrowotne.</w:t>
      </w:r>
    </w:p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164B65C0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>zgodnie z ustawą z dnia 10 kwietnia 1997 r. Prawo energetyczne (t. j. Dz. U. z 20</w:t>
      </w:r>
      <w:r w:rsidR="00A87E29">
        <w:rPr>
          <w:rFonts w:cstheme="minorHAnsi"/>
          <w:bCs/>
        </w:rPr>
        <w:t>21</w:t>
      </w:r>
      <w:r w:rsidRPr="004356BD">
        <w:rPr>
          <w:rFonts w:cstheme="minorHAnsi"/>
          <w:bCs/>
        </w:rPr>
        <w:t xml:space="preserve"> r., poz. 7</w:t>
      </w:r>
      <w:r w:rsidR="00A87E29">
        <w:rPr>
          <w:rFonts w:cstheme="minorHAnsi"/>
          <w:bCs/>
        </w:rPr>
        <w:t>16)</w:t>
      </w:r>
      <w:r w:rsidRPr="004356BD">
        <w:rPr>
          <w:rFonts w:cstheme="minorHAnsi"/>
          <w:bCs/>
        </w:rPr>
        <w:t xml:space="preserve"> </w:t>
      </w:r>
      <w:r w:rsidR="00A87E29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30CD76DF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>Zał. nr 5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4518BE2E" w14:textId="7B29ECEE" w:rsidR="00FA7BF8" w:rsidRPr="008B2861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 xml:space="preserve">W celu potwierdzenia niepodlegania wykluczeniu z niniejszego postępowania do oferty należy załączyć oświadczenie o niezaleganiu z podatkiem i opłatami – wzór stanowi załącznik </w:t>
      </w:r>
      <w:r w:rsidRPr="008B2861">
        <w:rPr>
          <w:rFonts w:cstheme="minorHAnsi"/>
          <w:b/>
          <w:bCs/>
          <w:sz w:val="24"/>
          <w:szCs w:val="24"/>
        </w:rPr>
        <w:t>nr 4 do SIWZ.</w:t>
      </w:r>
      <w:r w:rsidRPr="008B2861">
        <w:rPr>
          <w:rFonts w:cstheme="minorHAnsi"/>
          <w:sz w:val="24"/>
          <w:szCs w:val="24"/>
        </w:rPr>
        <w:t xml:space="preserve">  </w:t>
      </w:r>
    </w:p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72B0CD08" w:rsidR="00DA5F9A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 linkiem: </w:t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2C379D" w14:textId="5DC6CE8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A87E29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A87E29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A87E29">
        <w:rPr>
          <w:sz w:val="24"/>
          <w:szCs w:val="24"/>
        </w:rPr>
        <w:t>u na</w:t>
      </w:r>
      <w:r>
        <w:rPr>
          <w:sz w:val="24"/>
          <w:szCs w:val="24"/>
        </w:rPr>
        <w:t xml:space="preserve"> składani</w:t>
      </w:r>
      <w:r w:rsidR="00A87E29">
        <w:rPr>
          <w:sz w:val="24"/>
          <w:szCs w:val="24"/>
        </w:rPr>
        <w:t>e</w:t>
      </w:r>
      <w:r>
        <w:rPr>
          <w:sz w:val="24"/>
          <w:szCs w:val="24"/>
        </w:rPr>
        <w:t xml:space="preserve"> ofert</w:t>
      </w:r>
      <w:r w:rsidR="00A87E29">
        <w:rPr>
          <w:sz w:val="24"/>
          <w:szCs w:val="24"/>
        </w:rPr>
        <w:t>, pod warunkiem że wniosek o wyjaśnienie treści zapytania ofertowego wpłynął do Zamawiającego nie później niż do końca dnia, w którym upływa połowa wyznaczonego terminu składania ofert.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7F1484F7" w:rsidR="009925F2" w:rsidRPr="00213E6B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9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13DFD8D" w14:textId="140AE70F" w:rsidR="00213E6B" w:rsidRPr="00213E6B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213E6B">
        <w:rPr>
          <w:rStyle w:val="Hipercze"/>
          <w:rFonts w:cstheme="minorHAnsi"/>
          <w:color w:val="auto"/>
          <w:sz w:val="21"/>
          <w:szCs w:val="21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213E6B">
        <w:rPr>
          <w:rStyle w:val="Hipercze"/>
          <w:rFonts w:cstheme="minorHAnsi"/>
          <w:b/>
          <w:bCs/>
          <w:color w:val="auto"/>
          <w:sz w:val="21"/>
          <w:szCs w:val="21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 przypadku podpisania formularza oferty oraz poświadczenia za zgodność z oryginałem kopii dokumentów przez osobę niewymienioną w dokumencie rejestracyjnym (ewidencyjnym)  Wykonawcy, należy do oferty dołączyć stosowne pełnomocnictwo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7BAA9492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3B0111">
        <w:rPr>
          <w:sz w:val="24"/>
          <w:szCs w:val="24"/>
        </w:rPr>
        <w:t xml:space="preserve"> </w:t>
      </w:r>
      <w:r w:rsidR="0091047B">
        <w:rPr>
          <w:b/>
          <w:sz w:val="24"/>
          <w:szCs w:val="24"/>
        </w:rPr>
        <w:t>01</w:t>
      </w:r>
      <w:r w:rsidR="00C23819">
        <w:rPr>
          <w:b/>
          <w:sz w:val="24"/>
          <w:szCs w:val="24"/>
        </w:rPr>
        <w:t>.</w:t>
      </w:r>
      <w:r w:rsidR="001301E7">
        <w:rPr>
          <w:b/>
          <w:sz w:val="24"/>
          <w:szCs w:val="24"/>
        </w:rPr>
        <w:t>0</w:t>
      </w:r>
      <w:r w:rsidR="0091047B">
        <w:rPr>
          <w:b/>
          <w:sz w:val="24"/>
          <w:szCs w:val="24"/>
        </w:rPr>
        <w:t>6</w:t>
      </w:r>
      <w:r w:rsidR="00B3443F" w:rsidRPr="00B3443F">
        <w:rPr>
          <w:b/>
          <w:sz w:val="24"/>
          <w:szCs w:val="24"/>
        </w:rPr>
        <w:t>.20</w:t>
      </w:r>
      <w:r w:rsidR="0091047B">
        <w:rPr>
          <w:b/>
          <w:sz w:val="24"/>
          <w:szCs w:val="24"/>
        </w:rPr>
        <w:t>21</w:t>
      </w:r>
      <w:r w:rsidR="00B3443F" w:rsidRPr="00B3443F">
        <w:rPr>
          <w:b/>
          <w:sz w:val="24"/>
          <w:szCs w:val="24"/>
        </w:rPr>
        <w:t xml:space="preserve"> 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0723503A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Otwarcie ofert nastąpi w dniu</w:t>
      </w:r>
      <w:r w:rsidR="0091047B">
        <w:rPr>
          <w:sz w:val="24"/>
          <w:szCs w:val="24"/>
        </w:rPr>
        <w:t xml:space="preserve"> </w:t>
      </w:r>
      <w:r w:rsidR="0091047B">
        <w:rPr>
          <w:b/>
          <w:sz w:val="24"/>
          <w:szCs w:val="24"/>
        </w:rPr>
        <w:t>01</w:t>
      </w:r>
      <w:r w:rsidR="001301E7">
        <w:rPr>
          <w:b/>
          <w:sz w:val="24"/>
          <w:szCs w:val="24"/>
        </w:rPr>
        <w:t>.0</w:t>
      </w:r>
      <w:r w:rsidR="0091047B">
        <w:rPr>
          <w:b/>
          <w:sz w:val="24"/>
          <w:szCs w:val="24"/>
        </w:rPr>
        <w:t>6</w:t>
      </w:r>
      <w:r w:rsidR="00C23819" w:rsidRPr="00C23819">
        <w:rPr>
          <w:b/>
          <w:sz w:val="24"/>
          <w:szCs w:val="24"/>
        </w:rPr>
        <w:t>.20</w:t>
      </w:r>
      <w:r w:rsidR="0091047B">
        <w:rPr>
          <w:b/>
          <w:sz w:val="24"/>
          <w:szCs w:val="24"/>
        </w:rPr>
        <w:t>21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11.1</w:t>
      </w:r>
      <w:r w:rsidR="0091047B">
        <w:rPr>
          <w:b/>
          <w:sz w:val="24"/>
          <w:szCs w:val="24"/>
        </w:rPr>
        <w:t>0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lastRenderedPageBreak/>
        <w:t>Opis sposobu obliczenia ceny</w:t>
      </w:r>
    </w:p>
    <w:p w14:paraId="13ED6BD4" w14:textId="77777777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rabatów. B</w:t>
      </w:r>
      <w:r w:rsidR="00337F84">
        <w:rPr>
          <w:sz w:val="24"/>
          <w:szCs w:val="24"/>
        </w:rPr>
        <w:t>yć 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kontakt z inspektorem ochrony danych osobowych Panem Arnoldem Pasztą: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5800B769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C11,”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Default="009E177A" w:rsidP="000A453D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FDEE0B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C80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596DF4">
        <w:rPr>
          <w:sz w:val="24"/>
          <w:szCs w:val="24"/>
        </w:rPr>
        <w:t xml:space="preserve">Wykaz </w:t>
      </w:r>
      <w:r w:rsidR="00A364A4">
        <w:rPr>
          <w:sz w:val="24"/>
          <w:szCs w:val="24"/>
        </w:rPr>
        <w:t xml:space="preserve"> punktów poboru energii</w:t>
      </w:r>
      <w:r w:rsidR="00C80E3F">
        <w:rPr>
          <w:sz w:val="24"/>
          <w:szCs w:val="24"/>
        </w:rPr>
        <w:t xml:space="preserve"> </w:t>
      </w:r>
    </w:p>
    <w:p w14:paraId="5460118A" w14:textId="77777777" w:rsidR="00C80E3F" w:rsidRPr="005A60F9" w:rsidRDefault="00596DF4" w:rsidP="005A60F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  <w:r w:rsidR="005A60F9">
        <w:rPr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8A1A67">
        <w:rPr>
          <w:sz w:val="24"/>
          <w:szCs w:val="24"/>
        </w:rPr>
        <w:t>Szacowana p</w:t>
      </w:r>
      <w:r>
        <w:rPr>
          <w:sz w:val="24"/>
          <w:szCs w:val="24"/>
        </w:rPr>
        <w:t xml:space="preserve">rognoza zużycia energii </w:t>
      </w:r>
      <w:r w:rsidR="008A1A67">
        <w:rPr>
          <w:sz w:val="24"/>
          <w:szCs w:val="24"/>
        </w:rPr>
        <w:t>w MWh</w:t>
      </w:r>
    </w:p>
    <w:p w14:paraId="048DD08D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2 – Formularz ofertowy</w:t>
      </w:r>
    </w:p>
    <w:p w14:paraId="4F86568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</w:t>
      </w:r>
      <w:r w:rsidR="00E53424">
        <w:rPr>
          <w:sz w:val="24"/>
          <w:szCs w:val="24"/>
        </w:rPr>
        <w:t xml:space="preserve">nik nr 3 – Oświadczenie </w:t>
      </w:r>
      <w:r w:rsidR="00917305">
        <w:rPr>
          <w:sz w:val="24"/>
          <w:szCs w:val="24"/>
        </w:rPr>
        <w:t>o spełnieniu warunków</w:t>
      </w:r>
      <w:r w:rsidR="006F25E6">
        <w:rPr>
          <w:sz w:val="24"/>
          <w:szCs w:val="24"/>
        </w:rPr>
        <w:t xml:space="preserve"> udziału w postępowaniu</w:t>
      </w:r>
    </w:p>
    <w:p w14:paraId="6FB2B124" w14:textId="4E011352" w:rsidR="00F714D0" w:rsidRDefault="009E177A" w:rsidP="009F61E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4 </w:t>
      </w:r>
      <w:r w:rsidR="004445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4450D">
        <w:rPr>
          <w:sz w:val="24"/>
          <w:szCs w:val="24"/>
        </w:rPr>
        <w:t>Oświa</w:t>
      </w:r>
      <w:r w:rsidR="00E53424">
        <w:rPr>
          <w:sz w:val="24"/>
          <w:szCs w:val="24"/>
        </w:rPr>
        <w:t xml:space="preserve">dczenie </w:t>
      </w:r>
      <w:r w:rsidR="008B2861">
        <w:rPr>
          <w:sz w:val="24"/>
          <w:szCs w:val="24"/>
        </w:rPr>
        <w:t>o niezaleganiu w płatnościach podatków i opłat</w:t>
      </w:r>
    </w:p>
    <w:p w14:paraId="35429715" w14:textId="1019585D" w:rsidR="009F67C1" w:rsidRPr="00E53424" w:rsidRDefault="009F67C1" w:rsidP="009F61E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5 – Oświadczenie </w:t>
      </w:r>
      <w:r w:rsidR="008B2861">
        <w:rPr>
          <w:sz w:val="24"/>
          <w:szCs w:val="24"/>
        </w:rPr>
        <w:t xml:space="preserve">o posiadaniu umowy z </w:t>
      </w:r>
      <w:r w:rsidR="0084776B">
        <w:rPr>
          <w:sz w:val="24"/>
          <w:szCs w:val="24"/>
        </w:rPr>
        <w:t>Operatorem Systemu Dystrybucyjnego</w:t>
      </w:r>
    </w:p>
    <w:p w14:paraId="56AAD4C6" w14:textId="77777777" w:rsidR="0087443E" w:rsidRPr="00632E23" w:rsidRDefault="00443463" w:rsidP="00632E23">
      <w:pPr>
        <w:pStyle w:val="Akapitzlist"/>
        <w:ind w:left="1080"/>
        <w:rPr>
          <w:sz w:val="24"/>
          <w:szCs w:val="24"/>
        </w:rPr>
      </w:pPr>
      <w:r w:rsidRPr="00632E23">
        <w:rPr>
          <w:sz w:val="24"/>
          <w:szCs w:val="24"/>
        </w:rPr>
        <w:t xml:space="preserve"> </w:t>
      </w:r>
    </w:p>
    <w:sectPr w:rsidR="0087443E" w:rsidRPr="0063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12"/>
  </w:num>
  <w:num w:numId="5">
    <w:abstractNumId w:val="3"/>
  </w:num>
  <w:num w:numId="6">
    <w:abstractNumId w:val="23"/>
  </w:num>
  <w:num w:numId="7">
    <w:abstractNumId w:val="20"/>
  </w:num>
  <w:num w:numId="8">
    <w:abstractNumId w:val="24"/>
  </w:num>
  <w:num w:numId="9">
    <w:abstractNumId w:val="11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5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4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526DC"/>
    <w:rsid w:val="000A1656"/>
    <w:rsid w:val="000A453D"/>
    <w:rsid w:val="000F40F6"/>
    <w:rsid w:val="001301E7"/>
    <w:rsid w:val="00160286"/>
    <w:rsid w:val="0017142B"/>
    <w:rsid w:val="00181CB5"/>
    <w:rsid w:val="00197659"/>
    <w:rsid w:val="001B18C3"/>
    <w:rsid w:val="001C672D"/>
    <w:rsid w:val="001D68D9"/>
    <w:rsid w:val="001F13F9"/>
    <w:rsid w:val="00212F3E"/>
    <w:rsid w:val="00213E6B"/>
    <w:rsid w:val="002A61B9"/>
    <w:rsid w:val="002C1036"/>
    <w:rsid w:val="00305694"/>
    <w:rsid w:val="003123CC"/>
    <w:rsid w:val="003220F2"/>
    <w:rsid w:val="00322244"/>
    <w:rsid w:val="00327AE7"/>
    <w:rsid w:val="00337F84"/>
    <w:rsid w:val="003A6223"/>
    <w:rsid w:val="003A6515"/>
    <w:rsid w:val="003B0111"/>
    <w:rsid w:val="00414C01"/>
    <w:rsid w:val="00435299"/>
    <w:rsid w:val="004356BD"/>
    <w:rsid w:val="00436E77"/>
    <w:rsid w:val="00443463"/>
    <w:rsid w:val="0044450D"/>
    <w:rsid w:val="00447289"/>
    <w:rsid w:val="00466D06"/>
    <w:rsid w:val="00493ECB"/>
    <w:rsid w:val="004A2773"/>
    <w:rsid w:val="004F5361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32E23"/>
    <w:rsid w:val="00637182"/>
    <w:rsid w:val="00692A2F"/>
    <w:rsid w:val="006B5897"/>
    <w:rsid w:val="006E6429"/>
    <w:rsid w:val="006F25E6"/>
    <w:rsid w:val="00711C5B"/>
    <w:rsid w:val="007144F4"/>
    <w:rsid w:val="007365F2"/>
    <w:rsid w:val="00756E50"/>
    <w:rsid w:val="007A744A"/>
    <w:rsid w:val="007B06C4"/>
    <w:rsid w:val="007C09BA"/>
    <w:rsid w:val="00820887"/>
    <w:rsid w:val="0084776B"/>
    <w:rsid w:val="0087443E"/>
    <w:rsid w:val="008763E1"/>
    <w:rsid w:val="00877FB0"/>
    <w:rsid w:val="008A1A67"/>
    <w:rsid w:val="008B1A84"/>
    <w:rsid w:val="008B2861"/>
    <w:rsid w:val="008B4F49"/>
    <w:rsid w:val="008C60AD"/>
    <w:rsid w:val="008D65A0"/>
    <w:rsid w:val="008E7101"/>
    <w:rsid w:val="0091047B"/>
    <w:rsid w:val="00917305"/>
    <w:rsid w:val="009274AC"/>
    <w:rsid w:val="009602B8"/>
    <w:rsid w:val="009740B5"/>
    <w:rsid w:val="00982150"/>
    <w:rsid w:val="009925F2"/>
    <w:rsid w:val="00994832"/>
    <w:rsid w:val="009B224A"/>
    <w:rsid w:val="009E177A"/>
    <w:rsid w:val="009F61E0"/>
    <w:rsid w:val="009F65CE"/>
    <w:rsid w:val="009F67C1"/>
    <w:rsid w:val="00A12BA1"/>
    <w:rsid w:val="00A12DE3"/>
    <w:rsid w:val="00A364A4"/>
    <w:rsid w:val="00A5622C"/>
    <w:rsid w:val="00A70B99"/>
    <w:rsid w:val="00A87E29"/>
    <w:rsid w:val="00AD15DA"/>
    <w:rsid w:val="00AF39FB"/>
    <w:rsid w:val="00B161D4"/>
    <w:rsid w:val="00B23B3F"/>
    <w:rsid w:val="00B3443F"/>
    <w:rsid w:val="00B60280"/>
    <w:rsid w:val="00BC2836"/>
    <w:rsid w:val="00BD6F50"/>
    <w:rsid w:val="00BE533A"/>
    <w:rsid w:val="00C04697"/>
    <w:rsid w:val="00C23819"/>
    <w:rsid w:val="00C304D1"/>
    <w:rsid w:val="00C357E1"/>
    <w:rsid w:val="00C45C41"/>
    <w:rsid w:val="00C80E3F"/>
    <w:rsid w:val="00CF0F7C"/>
    <w:rsid w:val="00D06B52"/>
    <w:rsid w:val="00DA2BC1"/>
    <w:rsid w:val="00DA5F9A"/>
    <w:rsid w:val="00DB33B1"/>
    <w:rsid w:val="00DC1CC5"/>
    <w:rsid w:val="00DF77DD"/>
    <w:rsid w:val="00E02011"/>
    <w:rsid w:val="00E13281"/>
    <w:rsid w:val="00E37EF0"/>
    <w:rsid w:val="00E53424"/>
    <w:rsid w:val="00EB1334"/>
    <w:rsid w:val="00ED70C5"/>
    <w:rsid w:val="00EE5490"/>
    <w:rsid w:val="00EF3563"/>
    <w:rsid w:val="00F0278E"/>
    <w:rsid w:val="00F3489C"/>
    <w:rsid w:val="00F61EE0"/>
    <w:rsid w:val="00F714D0"/>
    <w:rsid w:val="00FA16B7"/>
    <w:rsid w:val="00FA796F"/>
    <w:rsid w:val="00FA7BF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&#261;gi@kpwik.nakl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pwik.nak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82</cp:revision>
  <cp:lastPrinted>2021-05-06T12:34:00Z</cp:lastPrinted>
  <dcterms:created xsi:type="dcterms:W3CDTF">2017-10-06T07:07:00Z</dcterms:created>
  <dcterms:modified xsi:type="dcterms:W3CDTF">2021-05-21T11:32:00Z</dcterms:modified>
</cp:coreProperties>
</file>